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DACE" w14:textId="77777777" w:rsidR="001B289E" w:rsidRPr="00337879" w:rsidRDefault="001B289E" w:rsidP="001B289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448BBC0F" w14:textId="77777777" w:rsidR="001B289E" w:rsidRPr="00337879" w:rsidRDefault="001B289E" w:rsidP="001B289E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3FBA74FC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6F26CE7F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ECCCE01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207DD8B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2CB0DE4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2E0A8FD" w14:textId="77777777" w:rsidR="001B289E" w:rsidRPr="00337879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BFBE7C" w14:textId="77777777" w:rsidR="001B289E" w:rsidRPr="00337879" w:rsidRDefault="001B289E" w:rsidP="001B289E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09FB8D51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2690FFB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396C275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9AEFE23" w14:textId="77777777" w:rsidR="001B289E" w:rsidRDefault="001B289E" w:rsidP="001B289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9585351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8112A9" w14:textId="77777777" w:rsidR="001B289E" w:rsidRDefault="001B289E" w:rsidP="001B289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4EB594C4" w14:textId="77777777" w:rsidR="001B289E" w:rsidRPr="00337879" w:rsidRDefault="001B289E" w:rsidP="001B289E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271905F6" w14:textId="1E2E9C50" w:rsidR="001B289E" w:rsidRPr="00337879" w:rsidRDefault="00A45455" w:rsidP="000F74CA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BD08AF">
        <w:rPr>
          <w:rFonts w:ascii="Times New Roman" w:hAnsi="Times New Roman"/>
          <w:b/>
          <w:bCs/>
          <w:sz w:val="24"/>
          <w:szCs w:val="24"/>
          <w:lang w:val="en-US"/>
        </w:rPr>
        <w:t>Ode</w:t>
      </w:r>
      <w:r w:rsidRPr="00BD08A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08AF">
        <w:rPr>
          <w:rFonts w:ascii="Times New Roman" w:hAnsi="Times New Roman"/>
          <w:b/>
          <w:bCs/>
          <w:sz w:val="24"/>
          <w:szCs w:val="24"/>
          <w:lang w:val="en-US"/>
        </w:rPr>
        <w:t>UPGS</w:t>
      </w:r>
      <w:r w:rsidRPr="00BD08AF">
        <w:rPr>
          <w:rFonts w:ascii="Times New Roman" w:hAnsi="Times New Roman"/>
          <w:b/>
          <w:bCs/>
          <w:sz w:val="24"/>
          <w:szCs w:val="24"/>
        </w:rPr>
        <w:t xml:space="preserve"> 4307</w:t>
      </w:r>
      <w:r w:rsidR="000F74CA" w:rsidRPr="00BD08AF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1B289E" w:rsidRPr="00BD08A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</w:t>
      </w:r>
      <w:r w:rsidR="001B289E" w:rsidRPr="00BD08A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 қызметтің персоналын  басқару</w:t>
      </w:r>
      <w:r w:rsidR="001B289E" w:rsidRPr="00BD08AF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B28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289E" w:rsidRPr="00BD08A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="001B289E" w:rsidRPr="00BD08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="001B289E" w:rsidRPr="00BD08A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="001B289E" w:rsidRPr="00BD08AF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B28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0349280" w14:textId="77777777" w:rsidR="001B289E" w:rsidRPr="00337879" w:rsidRDefault="001B289E" w:rsidP="001B289E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В0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4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 мамандығы</w:t>
      </w:r>
    </w:p>
    <w:p w14:paraId="3BE50CF2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2E6E96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55660E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3900B3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1DCB628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B450249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7577C5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80A4D1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C3FE77A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A00F68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97BEBAF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0D8FCA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51EB8E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AC6A91C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2528132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3335D3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4D79D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F07489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B35EB8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45A676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90FF32F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F0FE49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57F071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BAFE231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5851BAF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83F706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7A84AC3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4913C7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488735D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1BE87DC" w14:textId="77777777" w:rsidR="001B289E" w:rsidRPr="00676A97" w:rsidRDefault="001B289E" w:rsidP="001B289E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56ECAEE" w14:textId="77777777" w:rsidR="001B289E" w:rsidRPr="00676A97" w:rsidRDefault="001B289E" w:rsidP="001B289E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8934412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F943875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25A3958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FEC207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039E8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13D8913" w14:textId="77777777" w:rsidR="001A38E1" w:rsidRDefault="001A38E1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66BD54B" w14:textId="192A2797" w:rsidR="001B289E" w:rsidRPr="00244BF3" w:rsidRDefault="001B289E" w:rsidP="001B289E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1B289E" w:rsidRPr="00244BF3" w:rsidSect="001B289E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</w:p>
    <w:p w14:paraId="34289C52" w14:textId="77777777" w:rsidR="00DE0E5B" w:rsidRPr="00DE0E5B" w:rsidRDefault="00DE0E5B" w:rsidP="00DE0E5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0E5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lastRenderedPageBreak/>
        <w:t>Қ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E0E5B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E0E5B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 w:rsidRPr="00DE0E5B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E0E5B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E0E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E0E5B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1501B854" w14:textId="77777777" w:rsidR="00DE0E5B" w:rsidRPr="00DE0E5B" w:rsidRDefault="00DE0E5B" w:rsidP="00DE0E5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7E092D61" w14:textId="77777777" w:rsidR="00DE0E5B" w:rsidRPr="00DE0E5B" w:rsidRDefault="00DE0E5B" w:rsidP="00DE0E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1ECB4A" w14:textId="77777777" w:rsidR="00DE0E5B" w:rsidRPr="00DE0E5B" w:rsidRDefault="00DE0E5B" w:rsidP="00DE0E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69A2D5" w14:textId="77777777" w:rsidR="00DE0E5B" w:rsidRPr="00DE0E5B" w:rsidRDefault="00DE0E5B" w:rsidP="00DE0E5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098B41F" w14:textId="0B1105D8" w:rsidR="00DE0E5B" w:rsidRPr="00DE0E5B" w:rsidRDefault="00DE0E5B" w:rsidP="00DE0E5B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AB22BD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DE0E5B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DE0E5B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DE0E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DE0E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DE0E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DE0E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DE0E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0D42F4F0" w14:textId="77777777" w:rsidR="00DE0E5B" w:rsidRPr="00DE0E5B" w:rsidRDefault="00DE0E5B" w:rsidP="00DE0E5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BB4F56" w14:textId="77777777" w:rsidR="00DE0E5B" w:rsidRPr="00DE0E5B" w:rsidRDefault="00DE0E5B" w:rsidP="00DE0E5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DE0E5B" w:rsidRPr="00DE0E5B" w:rsidSect="00DE0E5B">
          <w:pgSz w:w="11906" w:h="16838"/>
          <w:pgMar w:top="1134" w:right="850" w:bottom="1134" w:left="1701" w:header="0" w:footer="0" w:gutter="0"/>
          <w:cols w:space="708"/>
        </w:sectPr>
      </w:pPr>
      <w:r w:rsidRPr="00DE0E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22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10    </w:t>
      </w:r>
      <w:r w:rsidRPr="00DE0E5B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2025</w:t>
      </w:r>
      <w:r w:rsidRPr="00DE0E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E0E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E0E5B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E0E5B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E0E5B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E0E5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E0E5B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№5</w:t>
      </w:r>
    </w:p>
    <w:p w14:paraId="0F2D9B8C" w14:textId="65C55536" w:rsidR="00F660F2" w:rsidRPr="00337879" w:rsidRDefault="00F660F2" w:rsidP="00F660F2">
      <w:pPr>
        <w:widowControl w:val="0"/>
        <w:tabs>
          <w:tab w:val="left" w:pos="5971"/>
        </w:tabs>
        <w:spacing w:after="0" w:line="235" w:lineRule="auto"/>
        <w:ind w:right="1259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63B4F012" w14:textId="77777777" w:rsidR="00F660F2" w:rsidRPr="00676A97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242ABF4F" w14:textId="6982D21D" w:rsidR="001A38E1" w:rsidRPr="001A38E1" w:rsidRDefault="00F660F2" w:rsidP="001A38E1">
      <w:pPr>
        <w:pStyle w:val="a7"/>
        <w:spacing w:after="0"/>
        <w:ind w:left="26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206770500"/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"Мемлекетті</w:t>
      </w:r>
      <w:r w:rsidRPr="00F660F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r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қызмет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тің персоналын</w:t>
      </w:r>
      <w:r w:rsidRPr="00780DED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  басқару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" </w:t>
      </w:r>
      <w:bookmarkEnd w:id="0"/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ні</w:t>
      </w:r>
      <w:r w:rsidRPr="00780DE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6В04101-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"</w:t>
      </w:r>
      <w:r w:rsidRPr="00780DED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/>
        </w:rPr>
        <w:t>Мемлекеттік және жергілікті басқару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"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м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анд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4 </w:t>
      </w:r>
      <w:r w:rsidRPr="00780DE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к</w:t>
      </w:r>
      <w:r w:rsidRPr="00780DE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у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р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студенттері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үш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о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ытылады:</w:t>
      </w:r>
      <w:r w:rsidRPr="00780DE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01.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A38E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</w:t>
      </w:r>
      <w:r w:rsidRPr="001A38E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ығында.</w:t>
      </w:r>
      <w:r w:rsidR="001A38E1"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Пәннің мақсаты-</w:t>
      </w:r>
      <w:r w:rsidRPr="001A38E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1A38E1" w:rsidRPr="001A38E1">
        <w:rPr>
          <w:rFonts w:ascii="Times New Roman" w:hAnsi="Times New Roman" w:cs="Times New Roman"/>
          <w:bCs/>
          <w:sz w:val="24"/>
          <w:szCs w:val="24"/>
          <w:lang w:val="kk-KZ"/>
        </w:rPr>
        <w:t>студенттерде мемлекеттік ұйымдарда кадрлық әлеуетті қалыптастыру, жұмыс істеу және пайдалану заңдылықтары туралы теориялық-әдістемелік түсінікті беру болып табылады;</w:t>
      </w:r>
      <w:r w:rsidR="001A38E1" w:rsidRPr="001A38E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="001A38E1" w:rsidRPr="001A38E1">
        <w:rPr>
          <w:rFonts w:ascii="Times New Roman" w:hAnsi="Times New Roman" w:cs="Times New Roman"/>
          <w:bCs/>
          <w:sz w:val="24"/>
          <w:szCs w:val="24"/>
          <w:lang w:val="kk-KZ"/>
        </w:rPr>
        <w:t>персоналды басқарудың теориялық негіздері; персоналды басқару принциптері мен әдістерінің мәні; ұжымдағы жанжалды жағдайларды анықтау; персоналды дамытуды басқару технологиялары туралы түсінікке ие болуы керек.</w:t>
      </w:r>
    </w:p>
    <w:p w14:paraId="2F6AD4CE" w14:textId="51EB83D1" w:rsidR="00F660F2" w:rsidRPr="00780DED" w:rsidRDefault="00F660F2" w:rsidP="00F660F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Жин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ақ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теори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я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780DE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практ</w:t>
      </w:r>
      <w:r w:rsidRPr="00780DE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и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кал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лім</w:t>
      </w:r>
      <w:r w:rsidRPr="00780DE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ерін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і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780DE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780D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о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ры</w:t>
      </w:r>
      <w:r w:rsidRPr="00780D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780DE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780DE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780D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780DE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 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kk-KZ"/>
        </w:rPr>
        <w:t xml:space="preserve"> </w:t>
      </w:r>
      <w:r w:rsidRPr="00780DED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val="kk-KZ"/>
        </w:rPr>
        <w:t xml:space="preserve">жазбаша дәстүрлі </w:t>
      </w:r>
      <w:r w:rsidRPr="00780D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– (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Емтихан сессиясы</w:t>
      </w:r>
      <w:r w:rsidRPr="00780DE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80DED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072BCC0" w14:textId="77777777" w:rsidR="00F660F2" w:rsidRPr="00780DED" w:rsidRDefault="00F660F2" w:rsidP="00F660F2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bookmarkStart w:id="1" w:name="_Hlk66300374"/>
      <w:r w:rsidRPr="00780DE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Емтихан офлайн-жазбаша форматта өткізіледі. Емтихан тапсыру кезінде қойылған сұрақтарға толық жазбаша  жауап беру қажет. </w:t>
      </w:r>
    </w:p>
    <w:bookmarkEnd w:id="1"/>
    <w:p w14:paraId="0DB5632F" w14:textId="77777777" w:rsidR="00F660F2" w:rsidRPr="00780DED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2AACA4F" w14:textId="77777777" w:rsidR="00F660F2" w:rsidRPr="00780DED" w:rsidRDefault="00F660F2" w:rsidP="00F660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80DE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Емтиханды тапсыру кезінде студенттер білуі тиіс: </w:t>
      </w:r>
    </w:p>
    <w:p w14:paraId="6D1FF012" w14:textId="77777777" w:rsidR="00F660F2" w:rsidRPr="00780DED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03D1E86" w14:textId="7EA4344D" w:rsidR="00F660F2" w:rsidRPr="00F660F2" w:rsidRDefault="00F660F2" w:rsidP="00F97283">
      <w:pPr>
        <w:pStyle w:val="a7"/>
        <w:widowControl w:val="0"/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F660F2">
        <w:rPr>
          <w:rFonts w:ascii="Times New Roman" w:hAnsi="Times New Roman" w:cs="Times New Roman"/>
          <w:sz w:val="20"/>
          <w:szCs w:val="20"/>
          <w:lang w:val="kk-KZ"/>
        </w:rPr>
        <w:t>ұйымдағы персоналды басқару процесінің мазмұны мен ұйымдастырылуы туралы, мемлекеттік органдар мен коммерциялық ұйымдардың ерекшеліктерін ескере отырып, еңбек ұжымындағы қызметкерлердің мінез-құлқына басқарушылық ықпал ету ерекшеліктері</w:t>
      </w:r>
      <w:r>
        <w:rPr>
          <w:rFonts w:ascii="Times New Roman" w:hAnsi="Times New Roman" w:cs="Times New Roman"/>
          <w:sz w:val="20"/>
          <w:szCs w:val="20"/>
          <w:lang w:val="kk-KZ"/>
        </w:rPr>
        <w:t>н;</w:t>
      </w:r>
    </w:p>
    <w:p w14:paraId="587121A6" w14:textId="0FB6F23D" w:rsidR="00F660F2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7283">
        <w:rPr>
          <w:rFonts w:ascii="Times New Roman" w:hAnsi="Times New Roman" w:cs="Times New Roman"/>
          <w:sz w:val="20"/>
          <w:szCs w:val="20"/>
          <w:lang w:val="kk-KZ"/>
        </w:rPr>
        <w:t>кадрлық ақпаратпен жұмыс істеуде практикалық дағдыларды меңгеру, персоналды басқарудың ерекшеліктерін және басшының персоналмен жұмыс істеу әдістерін зерделеу; жеке мансаптық жоспарлау дағдыларын меңгеру және қызметкердің іс-әрекетін әзірлеуді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264670A3" w14:textId="2835594C" w:rsidR="00F97283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72E5">
        <w:rPr>
          <w:rFonts w:ascii="Times New Roman" w:hAnsi="Times New Roman" w:cs="Times New Roman"/>
          <w:sz w:val="20"/>
          <w:szCs w:val="20"/>
          <w:lang w:val="kk-KZ"/>
        </w:rPr>
        <w:t>персоналды бағалау әдістерінің жүйесін және персоналды басқару функцияларының жүйесін, сондай-ақ ұйымдық басшылықтың технологияларын және өндірістік жағдайларға байланысты басқарудың ұтымды стильдерін таңдауды</w:t>
      </w:r>
      <w:r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44D4E858" w14:textId="777E72A0" w:rsidR="00F97283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D72E5">
        <w:rPr>
          <w:rFonts w:ascii="Times New Roman" w:hAnsi="Times New Roman" w:cs="Times New Roman"/>
          <w:sz w:val="20"/>
          <w:szCs w:val="20"/>
          <w:lang w:val="kk-KZ"/>
        </w:rPr>
        <w:t>персоналды басқару бойынша оқытуды үздіксіз дербес жалғастыру қажеттілігін қалыптастыру; ұйымдастырушылық жағдайларды өз бетінше шешу үшін  дағдыларды;</w:t>
      </w:r>
    </w:p>
    <w:p w14:paraId="259BA33D" w14:textId="49006779" w:rsidR="00F660F2" w:rsidRPr="00F97283" w:rsidRDefault="00F97283" w:rsidP="00F97283">
      <w:pPr>
        <w:pStyle w:val="a7"/>
        <w:widowControl w:val="0"/>
        <w:numPr>
          <w:ilvl w:val="0"/>
          <w:numId w:val="6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9728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мекемелердің тиімділігін арттыру  жағдайында да, дағдарыс пен бүкіл экономикалық жүйенің және ұйымның өзін өзгерту жағдайында да мекеменің  персоналын басқарудың практикалық дағдыларын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CD5C5E3" w14:textId="77777777" w:rsidR="00F660F2" w:rsidRDefault="00F660F2" w:rsidP="00F660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3C8E6A7" w14:textId="51FD904E" w:rsidR="00F660F2" w:rsidRPr="00701622" w:rsidRDefault="00701622" w:rsidP="00F660F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01622">
        <w:rPr>
          <w:rFonts w:ascii="Times New Roman" w:hAnsi="Times New Roman" w:cs="Times New Roman"/>
          <w:sz w:val="28"/>
          <w:szCs w:val="28"/>
          <w:lang w:val="kk-KZ"/>
        </w:rPr>
        <w:t>Емтихан сұрақтары қарастырылатын тақырыптар:</w:t>
      </w:r>
      <w:r w:rsidR="00F660F2" w:rsidRPr="007016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5D4564B1" w14:textId="77777777" w:rsidR="00F660F2" w:rsidRPr="00780DED" w:rsidRDefault="00F660F2" w:rsidP="00F660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5A58EDA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 Мемлекеттік қызметтің персоналын басқарудың ғылыми негіздері</w:t>
      </w:r>
    </w:p>
    <w:p w14:paraId="3B65FCC4" w14:textId="77777777" w:rsidR="00F660F2" w:rsidRPr="0049193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2 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Дамыған елдердегі мемлекеттік қызметтің персоналын  басқару жүйесі</w:t>
      </w:r>
    </w:p>
    <w:p w14:paraId="529EAE30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3.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Мемлекеттік органдардағы  персоналды басқаруды  қалыптастыру</w:t>
      </w:r>
    </w:p>
    <w:p w14:paraId="2C8D501D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4.</w:t>
      </w: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Жаhандану жағдайында персоналды бағалау</w:t>
      </w:r>
    </w:p>
    <w:p w14:paraId="444738DC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5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.Мемлекеттік қызметтің персоналын басқарудағы кадр тұрақсыздығы</w:t>
      </w:r>
    </w:p>
    <w:p w14:paraId="7B5D1EF8" w14:textId="77777777" w:rsidR="00F660F2" w:rsidRPr="0049193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6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мекемелердегі персоналды басқаруды жоспарлауды ұйымдастыру</w:t>
      </w:r>
    </w:p>
    <w:p w14:paraId="3E7A0223" w14:textId="77777777" w:rsidR="00F660F2" w:rsidRPr="005249B3" w:rsidRDefault="00F660F2" w:rsidP="00F660F2">
      <w:pPr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7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. </w:t>
      </w:r>
      <w:r w:rsidRPr="005249B3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Мемлекеттік мекемелердегі персоналды басқаруды кадрларды іздеу және жинақтау жолдары</w:t>
      </w:r>
    </w:p>
    <w:p w14:paraId="69B0BDDF" w14:textId="77777777" w:rsidR="00F660F2" w:rsidRPr="0049193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 кадрларды іздеу және жинақтау жолдары</w:t>
      </w:r>
    </w:p>
    <w:p w14:paraId="3C7106F4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9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Мемлекеттік қызметтің персоналының адаптациясы </w:t>
      </w:r>
    </w:p>
    <w:p w14:paraId="57248A8B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5249B3">
        <w:rPr>
          <w:rFonts w:ascii="Times New Roman" w:hAnsi="Times New Roman" w:cs="Times New Roman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Мемлекеттік қызметтің персоналының  мотивациясын басқару</w:t>
      </w:r>
    </w:p>
    <w:p w14:paraId="2FE3D069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қызметтің персоналын оқыту және дамыту жүйесі</w:t>
      </w:r>
    </w:p>
    <w:p w14:paraId="51BF24C9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12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мекемелердегі персоналды басқарудың индикаторларын жоспарлау</w:t>
      </w:r>
    </w:p>
    <w:p w14:paraId="2CF3084A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13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 жүйесіндегі персоналдың  қақтығыстарын  басқару</w:t>
      </w:r>
    </w:p>
    <w:p w14:paraId="0291CD7D" w14:textId="77777777" w:rsidR="00F660F2" w:rsidRPr="005249B3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14 </w:t>
      </w:r>
      <w:r>
        <w:rPr>
          <w:rFonts w:ascii="Times New Roman" w:hAnsi="Times New Roman" w:cs="Times New Roman"/>
          <w:sz w:val="20"/>
          <w:szCs w:val="20"/>
          <w:lang w:val="kk-KZ"/>
        </w:rPr>
        <w:t>Тақырып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 xml:space="preserve"> Мемлекеттік мекемелердегі персоналды басқарудың нәтижелерін бағалау</w:t>
      </w:r>
    </w:p>
    <w:p w14:paraId="2E84D647" w14:textId="77777777" w:rsidR="00F660F2" w:rsidRDefault="00F660F2" w:rsidP="00F660F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249B3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Pr="00491932">
        <w:rPr>
          <w:rFonts w:ascii="Times New Roman" w:hAnsi="Times New Roman" w:cs="Times New Roman"/>
          <w:sz w:val="20"/>
          <w:szCs w:val="20"/>
          <w:lang w:val="kk-KZ"/>
        </w:rPr>
        <w:t xml:space="preserve"> Тақырып </w:t>
      </w:r>
      <w:r w:rsidRPr="005249B3">
        <w:rPr>
          <w:rFonts w:ascii="Times New Roman" w:hAnsi="Times New Roman" w:cs="Times New Roman"/>
          <w:sz w:val="20"/>
          <w:szCs w:val="20"/>
          <w:lang w:val="kk-KZ"/>
        </w:rPr>
        <w:t>. Мемлекеттік қызметтің персоналын басқарудың  стратагиясын дамыту</w:t>
      </w:r>
    </w:p>
    <w:p w14:paraId="6BB055B6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45F44B7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1C28672" w14:textId="40A0E478" w:rsidR="00BD08AF" w:rsidRPr="00186410" w:rsidRDefault="00BD08AF" w:rsidP="00BD08AF">
      <w:pPr>
        <w:spacing w:before="40" w:after="40" w:line="240" w:lineRule="auto"/>
        <w:ind w:right="567"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8641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”</w:t>
      </w:r>
      <w:r w:rsidRPr="00186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BD08AF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Мемлекеттік  қызметтің персоналын  басқару</w:t>
      </w:r>
      <w:r w:rsidRPr="00186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" пәні</w:t>
      </w:r>
      <w:r w:rsidRPr="00186410">
        <w:rPr>
          <w:rFonts w:ascii="Times New Roman" w:hAnsi="Times New Roman" w:cs="Times New Roman"/>
          <w:color w:val="000000"/>
          <w:spacing w:val="38"/>
          <w:sz w:val="24"/>
          <w:szCs w:val="24"/>
          <w:lang w:val="kk-KZ"/>
        </w:rPr>
        <w:t xml:space="preserve"> бойынша емтиханның бағдарламалық сұрақтары:</w:t>
      </w:r>
    </w:p>
    <w:p w14:paraId="6DC4B6B3" w14:textId="63A72817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1.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Жаhандану кезеңіндегі мемлекеттік қызметтің персоналды басқарудың ғылыми негіздері</w:t>
      </w:r>
    </w:p>
    <w:p w14:paraId="2EA1E4B8" w14:textId="5AC08BD1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2.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қызметтің персоналын басқару  түсінігі және функциясы мен механизмдері</w:t>
      </w:r>
    </w:p>
    <w:p w14:paraId="13D02BB5" w14:textId="2746DD26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3.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Дамыған елдердегі мемлекеттік қызметтің персоналын  басқару жүйесі</w:t>
      </w:r>
    </w:p>
    <w:p w14:paraId="34296F75" w14:textId="3BFA537E" w:rsidR="007547D3" w:rsidRPr="007547D3" w:rsidRDefault="007547D3" w:rsidP="007547D3">
      <w:pPr>
        <w:spacing w:after="0" w:line="259" w:lineRule="auto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4.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Шет елдердегі мемлекеттік қызметтің персоналын  басқару жүйесі</w:t>
      </w:r>
    </w:p>
    <w:p w14:paraId="34A5B7E4" w14:textId="0075E4BE" w:rsidR="007547D3" w:rsidRPr="007547D3" w:rsidRDefault="007547D3" w:rsidP="007547D3">
      <w:p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5.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органдардағы  персоналды басқаруды  қалыптастыру</w:t>
      </w:r>
    </w:p>
    <w:p w14:paraId="548C7E3E" w14:textId="19BA2692" w:rsidR="007547D3" w:rsidRPr="007547D3" w:rsidRDefault="007547D3" w:rsidP="007547D3">
      <w:pPr>
        <w:spacing w:after="0"/>
        <w:contextualSpacing/>
        <w:rPr>
          <w:rFonts w:ascii="Times New Roman" w:hAnsi="Times New Roman" w:cs="Times New Roman"/>
          <w:color w:val="0070C0"/>
          <w:kern w:val="2"/>
          <w:sz w:val="24"/>
          <w:szCs w:val="24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6.</w:t>
      </w:r>
      <w:r w:rsidRPr="007547D3">
        <w:rPr>
          <w:rFonts w:ascii="Times New Roman" w:hAnsi="Times New Roman" w:cs="Times New Roman"/>
          <w:kern w:val="2"/>
          <w:sz w:val="24"/>
          <w:szCs w:val="24"/>
          <w:lang w:val="kk-KZ"/>
          <w14:ligatures w14:val="standardContextual"/>
        </w:rPr>
        <w:t>Мемлекеттік қызметтің  персоналын басқарудың саясаты</w:t>
      </w:r>
    </w:p>
    <w:p w14:paraId="2CD3F740" w14:textId="13F81277" w:rsidR="007547D3" w:rsidRPr="007547D3" w:rsidRDefault="007547D3" w:rsidP="007547D3">
      <w:pPr>
        <w:spacing w:after="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cyan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lastRenderedPageBreak/>
        <w:t>7.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Жаhандану жағдайында персоналды бағалау</w:t>
      </w:r>
    </w:p>
    <w:p w14:paraId="5AC12D36" w14:textId="3E9F1A01" w:rsidR="007547D3" w:rsidRPr="007547D3" w:rsidRDefault="007547D3" w:rsidP="007547D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8.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Персоналды бағалаудың әдістері мен түрлері</w:t>
      </w:r>
    </w:p>
    <w:p w14:paraId="3FF05E16" w14:textId="62CE735D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басқарудағы кадр тұрақсыздығы</w:t>
      </w:r>
    </w:p>
    <w:p w14:paraId="03565A4C" w14:textId="4BFC9783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Кадр тұрақсыздығының түрлері және факторлары</w:t>
      </w:r>
    </w:p>
    <w:p w14:paraId="22D2C318" w14:textId="6E66FB30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 жоспарлауды ұйымдастыру</w:t>
      </w:r>
    </w:p>
    <w:p w14:paraId="0A932D04" w14:textId="04DAD84E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Мекемелерде персоналды басқаруды жоспарлауды ұйымдастырудың ерекшеліктері</w:t>
      </w:r>
    </w:p>
    <w:p w14:paraId="4B3295E5" w14:textId="4106D177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 кадрларды іздеу және жинақтау жолдары</w:t>
      </w:r>
    </w:p>
    <w:p w14:paraId="6EAD48CE" w14:textId="3BA7D42A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14.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басқарудағы кадрларға қойылатын талаптар</w:t>
      </w:r>
    </w:p>
    <w:p w14:paraId="08CF0625" w14:textId="5E7761F8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15.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 кадрларды іздеу және жинақтау жолдары</w:t>
      </w:r>
    </w:p>
    <w:p w14:paraId="092B5DEF" w14:textId="17CF4F5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16.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персоналын басқарудағы кадрларды таңдау</w:t>
      </w:r>
    </w:p>
    <w:p w14:paraId="5FBF5EE8" w14:textId="12D29648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17.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қызметтің персоналының адаптациясы</w:t>
      </w:r>
    </w:p>
    <w:p w14:paraId="4BA8D641" w14:textId="1996446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18.</w:t>
      </w:r>
      <w:r w:rsidRPr="007547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Мемлекеттік қызметтің персоналының адаптациясының кезеңдері</w:t>
      </w:r>
    </w:p>
    <w:p w14:paraId="27304BA3" w14:textId="608127B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19.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персоналының  мотивациясын басқару</w:t>
      </w:r>
    </w:p>
    <w:p w14:paraId="02D285C2" w14:textId="4A1B05D9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қызметтің персоналының  мотивациясының түрлері</w:t>
      </w:r>
    </w:p>
    <w:p w14:paraId="61621946" w14:textId="16018E31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47D3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32"/>
          <w:szCs w:val="32"/>
          <w:lang w:val="kk-KZ"/>
        </w:rPr>
        <w:t>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оқыту және дамыту жүйесі</w:t>
      </w:r>
    </w:p>
    <w:p w14:paraId="0B707C4F" w14:textId="49A2B761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47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22.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оқытуды жетілдіру жолдары</w:t>
      </w:r>
    </w:p>
    <w:p w14:paraId="755DA010" w14:textId="7FF8F247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23.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басқарудың нәтижелерін бағалау</w:t>
      </w:r>
    </w:p>
    <w:p w14:paraId="23D27CF3" w14:textId="48CD904B" w:rsidR="007547D3" w:rsidRPr="007547D3" w:rsidRDefault="007547D3" w:rsidP="007547D3">
      <w:pPr>
        <w:spacing w:after="0" w:line="257" w:lineRule="auto"/>
        <w:ind w:right="14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24.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Персоналды басқару нәтижелерін бағалау индикатолары</w:t>
      </w:r>
    </w:p>
    <w:p w14:paraId="5D1048EC" w14:textId="6377A295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25.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басқарудың индикаторларын жоспарлау</w:t>
      </w:r>
    </w:p>
    <w:p w14:paraId="54CA6CFC" w14:textId="7E96288E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персоналды басқарудың жоспарлаудың индикаторлары</w:t>
      </w:r>
    </w:p>
    <w:p w14:paraId="74C3E4EC" w14:textId="266DB4EC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27.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 жүйесіндегі персоналдың  қақтығыстарын  басқару</w:t>
      </w:r>
    </w:p>
    <w:p w14:paraId="1A3228B9" w14:textId="492C8154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28.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мекемелердегі даулардың болдырмаудың әдістері</w:t>
      </w:r>
    </w:p>
    <w:p w14:paraId="115105C5" w14:textId="2E361685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29.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Мемлекеттік қызметтің персоналын басқарудың  стратагиясын дамыту</w:t>
      </w:r>
    </w:p>
    <w:p w14:paraId="6C5711C2" w14:textId="2CB4143F" w:rsidR="007547D3" w:rsidRPr="007547D3" w:rsidRDefault="007547D3" w:rsidP="007547D3">
      <w:pPr>
        <w:spacing w:after="0" w:line="257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207099493"/>
      <w:r>
        <w:rPr>
          <w:rFonts w:ascii="Times New Roman" w:hAnsi="Times New Roman" w:cs="Times New Roman"/>
          <w:sz w:val="24"/>
          <w:szCs w:val="24"/>
          <w:lang w:val="kk-KZ"/>
        </w:rPr>
        <w:t>30.</w:t>
      </w:r>
      <w:r w:rsidRPr="007547D3">
        <w:rPr>
          <w:rFonts w:ascii="Times New Roman" w:hAnsi="Times New Roman" w:cs="Times New Roman"/>
          <w:sz w:val="24"/>
          <w:szCs w:val="24"/>
          <w:lang w:val="kk-KZ"/>
        </w:rPr>
        <w:t>Мекемелердегі қызметтің персоналын басқаруды дамытудың басым бағыттары</w:t>
      </w:r>
      <w:bookmarkEnd w:id="2"/>
    </w:p>
    <w:p w14:paraId="1DF093AA" w14:textId="77777777" w:rsidR="007547D3" w:rsidRPr="007547D3" w:rsidRDefault="007547D3" w:rsidP="007547D3">
      <w:pPr>
        <w:rPr>
          <w:rFonts w:ascii="Times New Roman" w:eastAsia="QOVFH+ArialMT" w:hAnsi="Times New Roman" w:cs="Times New Roman"/>
          <w:spacing w:val="-6"/>
          <w:sz w:val="24"/>
          <w:szCs w:val="24"/>
          <w:lang w:val="kk-KZ"/>
        </w:rPr>
      </w:pPr>
    </w:p>
    <w:p w14:paraId="18AF681D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6B72672E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161C118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2DC73AD8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7A9F3233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1F55E8C5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5D17AED9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</w:p>
    <w:p w14:paraId="6334709D" w14:textId="77777777" w:rsidR="00BD08AF" w:rsidRDefault="00BD08AF" w:rsidP="00397E3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sectPr w:rsidR="00BD08AF" w:rsidSect="00BD08AF">
          <w:pgSz w:w="11906" w:h="16838"/>
          <w:pgMar w:top="825" w:right="850" w:bottom="571" w:left="1291" w:header="0" w:footer="0" w:gutter="0"/>
          <w:cols w:space="720"/>
          <w:docGrid w:linePitch="286"/>
        </w:sectPr>
      </w:pPr>
    </w:p>
    <w:p w14:paraId="597F1110" w14:textId="77D75C05" w:rsidR="00397E32" w:rsidRDefault="00397E32" w:rsidP="00397E3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     BAK/MAG/DOC СТАНДАРТЫ ЕМТИХАН: ЖАЗБАША</w:t>
      </w:r>
    </w:p>
    <w:tbl>
      <w:tblPr>
        <w:tblW w:w="14910" w:type="dxa"/>
        <w:tblInd w:w="7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702"/>
        <w:gridCol w:w="2411"/>
        <w:gridCol w:w="1843"/>
        <w:gridCol w:w="3395"/>
        <w:gridCol w:w="2553"/>
        <w:gridCol w:w="2297"/>
      </w:tblGrid>
      <w:tr w:rsidR="00397E32" w14:paraId="607CF0B3" w14:textId="77777777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BE8227" w14:textId="77777777" w:rsidR="00397E32" w:rsidRDefault="00397E32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40F38" w14:textId="77777777" w:rsidR="00397E32" w:rsidRDefault="00397E32">
            <w:pPr>
              <w:widowControl w:val="0"/>
              <w:spacing w:before="10" w:line="240" w:lineRule="auto"/>
              <w:ind w:left="103" w:right="-2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лл</w:t>
            </w:r>
          </w:p>
          <w:p w14:paraId="4018DDB1" w14:textId="77777777" w:rsidR="00397E32" w:rsidRDefault="00397E32">
            <w:pPr>
              <w:widowControl w:val="0"/>
              <w:spacing w:line="237" w:lineRule="auto"/>
              <w:ind w:left="103" w:right="149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4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FD9D01" w14:textId="77777777" w:rsidR="00397E32" w:rsidRDefault="00397E32">
            <w:pPr>
              <w:widowControl w:val="0"/>
              <w:tabs>
                <w:tab w:val="left" w:pos="5157"/>
                <w:tab w:val="left" w:pos="8063"/>
              </w:tabs>
              <w:spacing w:before="10" w:line="228" w:lineRule="auto"/>
              <w:ind w:left="2582" w:right="-2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:u w:val="single"/>
                <w14:ligatures w14:val="standardContextual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kern w:val="2"/>
                <w:sz w:val="20"/>
                <w:szCs w:val="20"/>
                <w:u w:val="single"/>
                <w14:ligatures w14:val="standardContextual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:u w:val="single"/>
                <w14:ligatures w14:val="standardContextual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:u w:val="single"/>
                <w14:ligatures w14:val="standardContextual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kern w:val="2"/>
                <w:sz w:val="20"/>
                <w:szCs w:val="20"/>
                <w:u w:val="single"/>
                <w14:ligatures w14:val="standardContextual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:u w:val="single"/>
                <w14:ligatures w14:val="standardContextual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kern w:val="2"/>
                <w:sz w:val="20"/>
                <w:szCs w:val="20"/>
                <w:u w:val="single"/>
                <w14:ligatures w14:val="standardContextual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:u w:val="single"/>
                <w14:ligatures w14:val="standardContextual"/>
              </w:rPr>
              <w:t>оры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:u w:val="single"/>
                <w14:ligatures w14:val="standardContextual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kern w:val="2"/>
                <w:sz w:val="20"/>
                <w:szCs w:val="20"/>
                <w:u w:val="single"/>
                <w14:ligatures w14:val="standardContextual"/>
              </w:rPr>
              <w:t xml:space="preserve"> </w:t>
            </w:r>
          </w:p>
        </w:tc>
      </w:tr>
      <w:tr w:rsidR="00397E32" w14:paraId="6A4F6918" w14:textId="77777777">
        <w:trPr>
          <w:cantSplit/>
          <w:trHeight w:hRule="exact" w:val="2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2AEBDA" w14:textId="77777777" w:rsidR="00397E32" w:rsidRDefault="00397E32">
            <w:pPr>
              <w:spacing w:after="0"/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A6E874" w14:textId="77777777" w:rsidR="00397E32" w:rsidRDefault="00397E3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9750" w14:textId="77777777" w:rsidR="00397E32" w:rsidRDefault="00397E32">
            <w:pPr>
              <w:widowControl w:val="0"/>
              <w:spacing w:before="19" w:line="220" w:lineRule="auto"/>
              <w:ind w:left="818" w:right="-2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"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өте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жақсы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"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A490" w14:textId="77777777" w:rsidR="00397E32" w:rsidRDefault="00397E32">
            <w:pPr>
              <w:widowControl w:val="0"/>
              <w:spacing w:before="19" w:line="220" w:lineRule="auto"/>
              <w:ind w:left="859" w:right="-2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kern w:val="2"/>
                <w:sz w:val="20"/>
                <w:szCs w:val="20"/>
                <w14:ligatures w14:val="standardContextual"/>
              </w:rPr>
              <w:t>"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kern w:val="2"/>
                <w:sz w:val="20"/>
                <w:szCs w:val="20"/>
                <w:lang w:val="kk-KZ"/>
                <w14:ligatures w14:val="standardContextual"/>
              </w:rPr>
              <w:t>ж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kern w:val="2"/>
                <w:sz w:val="20"/>
                <w:szCs w:val="20"/>
                <w14:ligatures w14:val="standardContextual"/>
              </w:rPr>
              <w:t>ақсы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kern w:val="2"/>
                <w:sz w:val="20"/>
                <w:szCs w:val="20"/>
                <w14:ligatures w14:val="standardContextual"/>
              </w:rPr>
              <w:t>"</w:t>
            </w:r>
          </w:p>
        </w:tc>
        <w:tc>
          <w:tcPr>
            <w:tcW w:w="3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139B" w14:textId="77777777" w:rsidR="00397E32" w:rsidRDefault="00397E32">
            <w:pPr>
              <w:widowControl w:val="0"/>
              <w:spacing w:before="19" w:line="220" w:lineRule="auto"/>
              <w:ind w:left="355" w:right="-2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kern w:val="2"/>
                <w:sz w:val="20"/>
                <w:szCs w:val="20"/>
                <w14:ligatures w14:val="standardContextual"/>
              </w:rPr>
              <w:t>"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kern w:val="2"/>
                <w:sz w:val="20"/>
                <w:szCs w:val="20"/>
                <w:lang w:val="kk-KZ"/>
                <w14:ligatures w14:val="standardContextual"/>
              </w:rPr>
              <w:t>қ</w:t>
            </w:r>
            <w:proofErr w:type="spellStart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kern w:val="2"/>
                <w:sz w:val="20"/>
                <w:szCs w:val="20"/>
                <w14:ligatures w14:val="standardContextual"/>
              </w:rPr>
              <w:t>анағаттанарлық</w:t>
            </w:r>
            <w:proofErr w:type="spellEnd"/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kern w:val="2"/>
                <w:sz w:val="20"/>
                <w:szCs w:val="20"/>
                <w14:ligatures w14:val="standardContextual"/>
              </w:rPr>
              <w:t>"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25B6" w14:textId="77777777" w:rsidR="00397E32" w:rsidRDefault="00397E32">
            <w:pPr>
              <w:widowControl w:val="0"/>
              <w:spacing w:before="19" w:line="220" w:lineRule="auto"/>
              <w:ind w:right="-2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:lang w:val="kk-KZ"/>
                <w14:ligatures w14:val="standardContextual"/>
              </w:rPr>
              <w:t>"қанағаттанарлықсыз"</w:t>
            </w:r>
          </w:p>
        </w:tc>
      </w:tr>
      <w:tr w:rsidR="00397E32" w14:paraId="5B85FA01" w14:textId="77777777">
        <w:trPr>
          <w:cantSplit/>
          <w:trHeight w:hRule="exact" w:val="3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7F9D7B" w14:textId="77777777" w:rsidR="00397E32" w:rsidRDefault="00397E32">
            <w:pPr>
              <w:spacing w:after="0"/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1C93067" w14:textId="77777777" w:rsidR="00397E32" w:rsidRDefault="00397E32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CC84" w14:textId="77777777" w:rsidR="00397E32" w:rsidRDefault="00397E32">
            <w:pPr>
              <w:widowControl w:val="0"/>
              <w:spacing w:before="19" w:line="220" w:lineRule="auto"/>
              <w:ind w:left="129" w:right="-20"/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90–100% (27-30 баллов)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CA96A" w14:textId="77777777" w:rsidR="00397E32" w:rsidRDefault="00397E32">
            <w:pPr>
              <w:widowControl w:val="0"/>
              <w:spacing w:before="19" w:line="220" w:lineRule="auto"/>
              <w:ind w:left="100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70–89% (21-26 баллов)</w:t>
            </w:r>
          </w:p>
        </w:tc>
        <w:tc>
          <w:tcPr>
            <w:tcW w:w="3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0997" w14:textId="77777777" w:rsidR="00397E32" w:rsidRDefault="00397E32">
            <w:pPr>
              <w:widowControl w:val="0"/>
              <w:spacing w:before="19" w:line="220" w:lineRule="auto"/>
              <w:ind w:left="3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50–69% (15-20 баллов)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EDFF" w14:textId="77777777" w:rsidR="00397E32" w:rsidRDefault="00397E32">
            <w:pPr>
              <w:widowControl w:val="0"/>
              <w:spacing w:before="19" w:line="220" w:lineRule="auto"/>
              <w:ind w:left="15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25–49% (8-14 баллов)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F517C" w14:textId="77777777" w:rsidR="00397E32" w:rsidRDefault="00397E32">
            <w:pPr>
              <w:widowControl w:val="0"/>
              <w:spacing w:before="19" w:line="220" w:lineRule="auto"/>
              <w:ind w:left="155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0–24% (0-7 баллов)</w:t>
            </w:r>
          </w:p>
        </w:tc>
      </w:tr>
      <w:tr w:rsidR="00397E32" w14:paraId="585E6647" w14:textId="77777777">
        <w:trPr>
          <w:cantSplit/>
          <w:trHeight w:hRule="exact" w:val="45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126" w14:textId="77777777" w:rsidR="00397E32" w:rsidRDefault="00397E3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  <w:t>сұрақ</w:t>
            </w:r>
          </w:p>
          <w:p w14:paraId="2D341127" w14:textId="77777777" w:rsidR="00397E32" w:rsidRDefault="00397E3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en-US"/>
                <w14:ligatures w14:val="standardContextual"/>
              </w:rPr>
              <w:t xml:space="preserve">max 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– </w:t>
            </w:r>
          </w:p>
          <w:p w14:paraId="4182D08C" w14:textId="77777777" w:rsidR="00397E32" w:rsidRDefault="00397E3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30 </w:t>
            </w:r>
          </w:p>
          <w:p w14:paraId="52875A5C" w14:textId="77777777" w:rsidR="00397E32" w:rsidRDefault="00397E3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баллов </w:t>
            </w:r>
          </w:p>
          <w:p w14:paraId="2DA24A8C" w14:textId="77777777" w:rsidR="00397E32" w:rsidRDefault="00397E32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3CF1D" w14:textId="011702E0" w:rsidR="00397E32" w:rsidRDefault="007205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</w:pPr>
            <w:r w:rsidRPr="0072051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Мемлекеттік  қызметтің персоналын  басқару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 xml:space="preserve"> </w:t>
            </w:r>
            <w:r w:rsidR="00397E32">
              <w:rPr>
                <w:rFonts w:ascii="Times New Roman" w:hAnsi="Times New Roman" w:cs="Times New Roman"/>
                <w:kern w:val="2"/>
                <w:sz w:val="20"/>
                <w:szCs w:val="20"/>
                <w:lang w:val="kk-KZ"/>
                <w14:ligatures w14:val="standardContextual"/>
              </w:rPr>
              <w:t>теориялар мен тұжырымдамаларын білу және түсіну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D70EA" w14:textId="77777777" w:rsidR="00397E32" w:rsidRDefault="00397E32">
            <w:pPr>
              <w:widowControl w:val="0"/>
              <w:tabs>
                <w:tab w:val="left" w:pos="1499"/>
                <w:tab w:val="left" w:pos="2102"/>
              </w:tabs>
              <w:spacing w:line="237" w:lineRule="auto"/>
              <w:ind w:left="112" w:right="38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:lang w:val="kk-KZ"/>
                <w14:ligatures w14:val="standardContextual"/>
              </w:rPr>
              <w:t xml:space="preserve">Сұрақтың жан-жақты түсіндірмесі, әрбір қорытынды мен мәлімдеме үшін егжей-тегжейлі дәлелденген, логикалық және жүйелі түрде құрастырылған және әзірленген сыныптағы тақырыптардан мысалдармен расталған жауап үшін </w:t>
            </w:r>
            <w:r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kern w:val="2"/>
                <w:sz w:val="20"/>
                <w:szCs w:val="20"/>
                <w:lang w:val="kk-KZ"/>
                <w14:ligatures w14:val="standardContextual"/>
              </w:rPr>
              <w:t>«өте жақсы»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:lang w:val="kk-KZ"/>
                <w14:ligatures w14:val="standardContextual"/>
              </w:rPr>
              <w:t xml:space="preserve"> баға қойылады.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91A2" w14:textId="77777777" w:rsidR="00397E32" w:rsidRDefault="00397E32">
            <w:pPr>
              <w:widowControl w:val="0"/>
              <w:spacing w:line="237" w:lineRule="auto"/>
              <w:ind w:left="112" w:right="38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:lang w:val="kk-KZ"/>
                <w14:ligatures w14:val="standardContextual"/>
              </w:rPr>
              <w:t>«</w:t>
            </w:r>
            <w:r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kern w:val="2"/>
                <w:sz w:val="20"/>
                <w:szCs w:val="20"/>
                <w:lang w:val="kk-KZ"/>
                <w14:ligatures w14:val="standardContextual"/>
              </w:rPr>
              <w:t>Жақсы»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:lang w:val="kk-KZ"/>
                <w14:ligatures w14:val="standardContextual"/>
              </w:rPr>
              <w:t xml:space="preserve"> деген баға сұрақтың толық, бірақ толық емес қамтылуын, негізгі ережелердің қысқартылған аргументтерін қамтитын және материалды баяндау логикасы мен реттілігін бұзуға мүмкіндік беретін жауапқа қойылады.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Жауапта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стильдік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қателер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терминдерді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дұрыс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қолданбау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бар.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B869" w14:textId="77777777" w:rsidR="00397E32" w:rsidRDefault="00397E32">
            <w:pPr>
              <w:widowControl w:val="0"/>
              <w:spacing w:before="29" w:line="249" w:lineRule="auto"/>
              <w:ind w:left="87" w:right="115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«</w:t>
            </w:r>
            <w:proofErr w:type="spellStart"/>
            <w:r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Қанағаттанарлық</w:t>
            </w:r>
            <w:proofErr w:type="spellEnd"/>
            <w:r>
              <w:rPr>
                <w:rFonts w:ascii="Times New Roman" w:eastAsia="MGCEF+ArialMT" w:hAnsi="Times New Roman" w:cs="Times New Roman"/>
                <w:b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»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баға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билетте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ұсынылған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сұрақтарды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толық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қамтымаған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негізгі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ойларды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үстірт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дәлелдейтін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баяндаудағы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композициялық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диспропорцияларға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материалды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баяндау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логикасы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реттілігін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бұзуға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жол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берген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суреттеме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бермейтін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жауапқа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қойылады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әзірленген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сынып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жазбаларынан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мысалдармен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теориялық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принциптер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B75B3" w14:textId="77777777" w:rsidR="00397E32" w:rsidRDefault="00397E32">
            <w:pPr>
              <w:widowControl w:val="0"/>
              <w:tabs>
                <w:tab w:val="left" w:pos="2327"/>
              </w:tabs>
              <w:spacing w:line="237" w:lineRule="auto"/>
              <w:ind w:left="112" w:right="39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Қойылған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сұрақтарды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дұрыс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қамтымау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қате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дәлелдеу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фактілік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сөйлеу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қателері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дұрыс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қорытындыны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болжау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40E7" w14:textId="77777777" w:rsidR="00397E32" w:rsidRDefault="00397E32">
            <w:pPr>
              <w:widowControl w:val="0"/>
              <w:tabs>
                <w:tab w:val="left" w:pos="892"/>
                <w:tab w:val="left" w:pos="2265"/>
              </w:tabs>
              <w:spacing w:before="29" w:line="249" w:lineRule="auto"/>
              <w:ind w:left="155" w:right="165"/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Пәндегі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негізгі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ұғымдарды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теорияларды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білмеу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;</w:t>
            </w:r>
          </w:p>
          <w:p w14:paraId="3E798E8C" w14:textId="77777777" w:rsidR="00397E32" w:rsidRDefault="00397E32">
            <w:pPr>
              <w:widowControl w:val="0"/>
              <w:tabs>
                <w:tab w:val="left" w:pos="892"/>
                <w:tab w:val="left" w:pos="2265"/>
              </w:tabs>
              <w:spacing w:before="29" w:line="249" w:lineRule="auto"/>
              <w:ind w:left="155" w:right="-20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Қорытынды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бақылауды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өткізу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ережесін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бұзу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</w:tr>
      <w:tr w:rsidR="00397E32" w14:paraId="011773E5" w14:textId="77777777">
        <w:trPr>
          <w:cantSplit/>
          <w:trHeight w:hRule="exact" w:val="36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8E55" w14:textId="77777777" w:rsidR="00397E32" w:rsidRDefault="00397E3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  <w:t>сұрақ</w:t>
            </w:r>
          </w:p>
          <w:p w14:paraId="1D0F12DF" w14:textId="77777777" w:rsidR="00397E32" w:rsidRDefault="00397E3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en-US"/>
                <w14:ligatures w14:val="standardContextual"/>
              </w:rPr>
              <w:t>max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- 30 бал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  <w:t xml:space="preserve">л </w:t>
            </w:r>
          </w:p>
          <w:p w14:paraId="6653AD22" w14:textId="77777777" w:rsidR="00397E32" w:rsidRDefault="00397E32">
            <w:pPr>
              <w:rPr>
                <w:rFonts w:ascii="Times New Roman" w:eastAsia="QOVFH+ArialMT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CD11" w14:textId="6150565A" w:rsidR="00397E32" w:rsidRDefault="00720512">
            <w:pP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72051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Мемлекеттік  қызметтің персоналын  басқару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қалыптастыру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жүзеге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асырудың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негізгі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мәселелерін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білу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C53D" w14:textId="77777777" w:rsidR="00397E32" w:rsidRDefault="00397E32">
            <w:pPr>
              <w:widowControl w:val="0"/>
              <w:tabs>
                <w:tab w:val="left" w:pos="1499"/>
                <w:tab w:val="left" w:pos="2102"/>
              </w:tabs>
              <w:spacing w:line="237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Оқу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тапсырмасын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толық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орындау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қойылған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сұраққа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егжей-тегжейлі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дәлелді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жауап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беру,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содан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кейін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курстың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мәселелерін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шешу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9A9D" w14:textId="77777777" w:rsidR="00397E32" w:rsidRDefault="00397E32">
            <w:pPr>
              <w:widowControl w:val="0"/>
              <w:tabs>
                <w:tab w:val="left" w:pos="1392"/>
                <w:tab w:val="left" w:pos="2229"/>
              </w:tabs>
              <w:spacing w:line="237" w:lineRule="auto"/>
              <w:ind w:left="112" w:right="38"/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Оқу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тапсырмасын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жартылай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орындау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курстың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мәселелерін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толық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шешумен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қойылған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сұраққа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толық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кейде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дәлелді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жауап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беру;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курста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ғылыми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тіл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нормаларын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сауатсыз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қолдану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;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F50A0" w14:textId="77777777" w:rsidR="00397E32" w:rsidRDefault="00397E32">
            <w:pPr>
              <w:widowControl w:val="0"/>
              <w:spacing w:before="29" w:line="249" w:lineRule="auto"/>
              <w:ind w:left="87" w:right="115"/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Материал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фрагментті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түрде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берілген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логикалық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жүйелілік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бұзылған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фактілік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мағыналық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дәлсіздіктерге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жол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берілген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, курс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бойынша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теориялық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білім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үстірт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пайдаланылады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3"/>
                <w:kern w:val="2"/>
                <w:sz w:val="20"/>
                <w:szCs w:val="20"/>
                <w14:ligatures w14:val="standardContextual"/>
              </w:rPr>
              <w:t>.</w:t>
            </w:r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F0ED" w14:textId="77777777" w:rsidR="00397E32" w:rsidRDefault="00397E32">
            <w:pPr>
              <w:widowControl w:val="0"/>
              <w:spacing w:before="9" w:line="237" w:lineRule="auto"/>
              <w:ind w:left="112" w:right="203"/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Тапсырманы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шешудің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қисынсыз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әдісі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немесе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жеткіліксіз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ойластырылған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жауап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жоспары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мәселелерді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шешу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жалпы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тапсырмаларды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орындау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қабілетсіздігі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қателер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олқылықтар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жасау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асып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кету норма.</w:t>
            </w:r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ab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B9608" w14:textId="77777777" w:rsidR="00397E32" w:rsidRDefault="00397E32">
            <w:pPr>
              <w:widowControl w:val="0"/>
              <w:tabs>
                <w:tab w:val="left" w:pos="892"/>
                <w:tab w:val="left" w:pos="2265"/>
              </w:tabs>
              <w:spacing w:before="29" w:line="249" w:lineRule="auto"/>
              <w:ind w:left="155" w:right="-20"/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Есептерді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шешу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үшін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білім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алгоритмдерді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қолдана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алмау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;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қорытындылар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жалпылаулар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жасай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алмау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Қорытынды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бақылауды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өткізу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ережесін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бұзу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-1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</w:tr>
    </w:tbl>
    <w:p w14:paraId="7BC5DA80" w14:textId="77777777" w:rsidR="00397E32" w:rsidRDefault="00397E32" w:rsidP="00397E32">
      <w:pPr>
        <w:spacing w:after="0"/>
        <w:rPr>
          <w:rFonts w:ascii="Times New Roman" w:hAnsi="Times New Roman" w:cs="Times New Roman"/>
          <w:sz w:val="20"/>
          <w:szCs w:val="20"/>
        </w:rPr>
        <w:sectPr w:rsidR="00397E32" w:rsidSect="00BD08AF">
          <w:pgSz w:w="16838" w:h="11906" w:orient="landscape"/>
          <w:pgMar w:top="850" w:right="571" w:bottom="1291" w:left="825" w:header="0" w:footer="0" w:gutter="0"/>
          <w:cols w:space="720"/>
          <w:docGrid w:linePitch="286"/>
        </w:sectPr>
      </w:pPr>
    </w:p>
    <w:tbl>
      <w:tblPr>
        <w:tblpPr w:leftFromText="180" w:rightFromText="180" w:bottomFromText="160" w:vertAnchor="text" w:horzAnchor="margin" w:tblpXSpec="center" w:tblpY="115"/>
        <w:tblW w:w="15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1860"/>
        <w:gridCol w:w="2576"/>
        <w:gridCol w:w="2576"/>
        <w:gridCol w:w="2907"/>
        <w:gridCol w:w="2552"/>
        <w:gridCol w:w="2268"/>
      </w:tblGrid>
      <w:tr w:rsidR="00397E32" w14:paraId="7E903EA1" w14:textId="77777777">
        <w:trPr>
          <w:cantSplit/>
          <w:trHeight w:hRule="exact" w:val="4422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72F" w14:textId="77777777" w:rsidR="00397E32" w:rsidRDefault="00397E32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</w:pPr>
            <w:bookmarkStart w:id="3" w:name="_page_59_0"/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 xml:space="preserve">3 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kk-KZ"/>
                <w14:ligatures w14:val="standardContextual"/>
              </w:rPr>
              <w:t>сұрақ</w:t>
            </w:r>
          </w:p>
          <w:p w14:paraId="2189A707" w14:textId="77777777" w:rsidR="00397E32" w:rsidRDefault="00397E32">
            <w:pPr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:lang w:val="en-US"/>
                <w14:ligatures w14:val="standardContextual"/>
              </w:rPr>
              <w:t>max</w:t>
            </w:r>
            <w:r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- 40 балл </w:t>
            </w:r>
          </w:p>
          <w:p w14:paraId="38D9823F" w14:textId="77777777" w:rsidR="00397E32" w:rsidRDefault="00397E32">
            <w:pPr>
              <w:widowControl w:val="0"/>
              <w:spacing w:before="9" w:line="237" w:lineRule="auto"/>
              <w:ind w:left="270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556B" w14:textId="09BCB5A1" w:rsidR="00720512" w:rsidRPr="00720512" w:rsidRDefault="00720512" w:rsidP="00720512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</w:pPr>
            <w:r w:rsidRPr="00720512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Мемлекеттік  қызметтің персоналын  басқару</w:t>
            </w:r>
          </w:p>
          <w:p w14:paraId="0B668867" w14:textId="4AD88EEE" w:rsidR="00397E32" w:rsidRDefault="00720512" w:rsidP="00720512">
            <w:pPr>
              <w:widowControl w:val="0"/>
              <w:spacing w:after="0" w:line="240" w:lineRule="auto"/>
              <w:rPr>
                <w:rFonts w:ascii="Times New Roman" w:eastAsia="QOVFH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</w:t>
            </w:r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аңдалған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әдістеменің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ұсынылған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практикалық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тапсырмаға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қолданылуын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бағалау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талдау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алынған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нәтижені</w:t>
            </w:r>
            <w:proofErr w:type="spellEnd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="00397E32">
              <w:rPr>
                <w:rFonts w:ascii="Times New Roman" w:eastAsia="QOVFH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негіздеу</w:t>
            </w:r>
            <w:proofErr w:type="spellEnd"/>
          </w:p>
          <w:p w14:paraId="778B7EE7" w14:textId="77777777" w:rsidR="00397E32" w:rsidRDefault="00397E32">
            <w:pPr>
              <w:widowControl w:val="0"/>
              <w:spacing w:before="9" w:line="237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598E" w14:textId="77777777" w:rsidR="00397E32" w:rsidRDefault="00397E32">
            <w:pPr>
              <w:widowControl w:val="0"/>
              <w:spacing w:before="9" w:line="237" w:lineRule="auto"/>
              <w:ind w:left="110" w:right="4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Ғылыми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қағидаларды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қолданбалы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әдістеме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технологияны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дәйекті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логикалық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дұрыс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негіздеу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сауаттылық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ғылыми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тіл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нормаларын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сақтау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материалды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баяндау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кезінде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жалпы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дұрыс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қорытындыға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әсер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етпейтін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1-2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дәлсіздікке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жол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беріледі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(+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көрнекілік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).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графикалық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деректер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арқылы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негіздеу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нәтижелері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).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7D51" w14:textId="77777777" w:rsidR="00397E32" w:rsidRDefault="00397E32">
            <w:pPr>
              <w:widowControl w:val="0"/>
              <w:tabs>
                <w:tab w:val="left" w:pos="2152"/>
              </w:tabs>
              <w:spacing w:before="9" w:line="237" w:lineRule="auto"/>
              <w:ind w:left="110" w:right="4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Тапсырманы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орындаудың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жақсы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жалпы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деңгейіне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әсер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етпейтін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тұжырымдамалық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материалды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пайдаланудағы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3-4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дәлсіздікке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жалпылаулар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қорытындылардағы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болмашы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қателерге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жол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беріледі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spacing w:val="1"/>
                <w:kern w:val="2"/>
                <w:sz w:val="20"/>
                <w:szCs w:val="20"/>
                <w14:ligatures w14:val="standardContextual"/>
              </w:rPr>
              <w:t>.</w:t>
            </w:r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795F" w14:textId="77777777" w:rsidR="00397E32" w:rsidRDefault="00397E32">
            <w:pPr>
              <w:widowControl w:val="0"/>
              <w:spacing w:before="9" w:line="237" w:lineRule="auto"/>
              <w:ind w:left="110" w:right="58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Негізделген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ғылыми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ережелерді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қолдану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туралы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қорытындылар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бұлыңғыр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дәлелсіз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болып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табылады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сонымен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қатар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практикалық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шешімнің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нәтижелерін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өңдеуде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нақты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стильдік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және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грамматикалық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қателер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бар;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90F65" w14:textId="77777777" w:rsidR="00397E32" w:rsidRDefault="00397E32">
            <w:pPr>
              <w:widowControl w:val="0"/>
              <w:spacing w:before="9" w:line="237" w:lineRule="auto"/>
              <w:ind w:left="110" w:right="101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Тапсырма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өрескел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қателермен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орындалды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сұрақтарға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жауаптар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толық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емес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концептуалды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материал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дәлелдеу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нашар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пайдаланылды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8662" w14:textId="77777777" w:rsidR="00397E32" w:rsidRDefault="00397E32">
            <w:pPr>
              <w:widowControl w:val="0"/>
              <w:spacing w:before="9" w:line="237" w:lineRule="auto"/>
              <w:ind w:left="110" w:right="67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Тапсырма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орындалмаған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қойылған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сұрақтарға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жауаптар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жоқ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материалдар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мен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талдау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құралдары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пайдаланылмаған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Қорытынды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бақылау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жүргізу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ережесін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бұзу</w:t>
            </w:r>
            <w:proofErr w:type="spellEnd"/>
            <w:r>
              <w:rPr>
                <w:rFonts w:ascii="Times New Roman" w:eastAsia="MGCEF+ArialMT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</w:tr>
    </w:tbl>
    <w:p w14:paraId="7EBFAF4E" w14:textId="77777777" w:rsidR="00397E32" w:rsidRDefault="00397E32" w:rsidP="00397E32">
      <w:pPr>
        <w:rPr>
          <w:rFonts w:ascii="Times New Roman" w:hAnsi="Times New Roman" w:cs="Times New Roman"/>
          <w:sz w:val="20"/>
          <w:szCs w:val="20"/>
        </w:rPr>
      </w:pPr>
    </w:p>
    <w:bookmarkEnd w:id="3"/>
    <w:p w14:paraId="1AB53741" w14:textId="77777777" w:rsidR="00397E32" w:rsidRDefault="00397E32" w:rsidP="00397E32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Емтихан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жұмыстары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сұрақтан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тұрады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.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Дұрыс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орындалған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тапсырмалар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максимум 100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оның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ішінде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бірінші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екінші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30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,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үшінші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сұраққа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 xml:space="preserve"> 40 </w:t>
      </w:r>
      <w:proofErr w:type="spellStart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ұпай</w:t>
      </w:r>
      <w:proofErr w:type="spellEnd"/>
      <w: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</w:rPr>
        <w:t>.</w:t>
      </w:r>
    </w:p>
    <w:p w14:paraId="69C6F563" w14:textId="77777777" w:rsidR="00397E32" w:rsidRP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14:paraId="50BDC1C9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556F91F7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0557AD58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4A00DC02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45F35BD6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20671A00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4B223510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7E22EB88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129F1AE2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63404D70" w14:textId="77777777" w:rsidR="00397E32" w:rsidRDefault="00397E32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</w:pPr>
    </w:p>
    <w:p w14:paraId="2860A72B" w14:textId="77777777" w:rsidR="00BD08AF" w:rsidRDefault="00BD08AF" w:rsidP="00AB22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sectPr w:rsidR="00BD08AF" w:rsidSect="00BD08A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90E2894" w14:textId="2369AB72" w:rsidR="001B289E" w:rsidRPr="005249B3" w:rsidRDefault="004844E7" w:rsidP="00AB22B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5154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lastRenderedPageBreak/>
        <w:t xml:space="preserve">          </w:t>
      </w:r>
    </w:p>
    <w:p w14:paraId="5F955990" w14:textId="77777777" w:rsidR="00BD08AF" w:rsidRDefault="00BD08AF" w:rsidP="00BD08A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   ӘДЕБИЕТТЕР:</w:t>
      </w:r>
    </w:p>
    <w:p w14:paraId="7F99D2F5" w14:textId="77777777" w:rsidR="00BD08AF" w:rsidRDefault="00BD08AF" w:rsidP="00BD08AF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bookmarkStart w:id="4" w:name="_Hlk205733945"/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B3F058D" w14:textId="77777777" w:rsidR="00BD08AF" w:rsidRDefault="00BD08AF" w:rsidP="00BD08A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4BC4D880" w14:textId="77777777" w:rsidR="00BD08AF" w:rsidRDefault="00BD08AF" w:rsidP="00BD08AF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59B27E04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2F993F4A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5."Мемлекеттік қызметтің персоналын басқару ұлттық орталығы" акционерлік қоғамының кейбір мәселелері туралы//Қазақстан Республикасы Үкіметінің 2023 жылғы 2 қарашадағы № 970 қаулысы</w:t>
      </w:r>
    </w:p>
    <w:p w14:paraId="251DB993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</w:t>
      </w:r>
      <w:proofErr w:type="spellStart"/>
      <w:r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2025. — 167 с.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</w:p>
    <w:p w14:paraId="0064FF05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7.Васильева В.М., Колеснева Е.А.,  Иншаков И.А.  Государственная политика и управление-М.: Юрайт, 2025.-442</w:t>
      </w:r>
    </w:p>
    <w:p w14:paraId="3D980249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8.Глазьев С.Ю., Бодрунов С.Д. Современное государственное управление-М.: Ленанд, 2025.-608 с.</w:t>
      </w:r>
    </w:p>
    <w:p w14:paraId="0B9C8F74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9.Донец Л. И. Мотивация и стимулирование персонала- Донецк, 2025.-332 с.</w:t>
      </w:r>
    </w:p>
    <w:p w14:paraId="10380A58" w14:textId="77777777" w:rsidR="00BD08AF" w:rsidRDefault="00BD08AF" w:rsidP="00BD08A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10.Жатқанбаев Е.Б., Смағұлова Г.С. Экономиканы мемлекеттік реттеу- Алматы: Қазақ университеті, 2024.-284 б.</w:t>
      </w:r>
    </w:p>
    <w:p w14:paraId="50F18418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11.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Иванова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О.А.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Трохина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Алешина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А.Б. и др. Управление персоналом-</w:t>
      </w:r>
    </w:p>
    <w:p w14:paraId="5C657A6A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bookmarkStart w:id="5" w:name="_Hlk202176253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196 с.</w:t>
      </w:r>
      <w:bookmarkEnd w:id="5"/>
    </w:p>
    <w:p w14:paraId="3C160B5A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12.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Никонорова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С.М.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С. Н. Бобылева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С.Н. Управление устойчивым развитием-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- 472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34BE432E" w14:textId="77777777" w:rsidR="00BD08AF" w:rsidRDefault="00BD08AF" w:rsidP="00BD08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13.</w:t>
      </w:r>
      <w:r>
        <w:rPr>
          <w:rFonts w:ascii="Times New Roman" w:hAnsi="Times New Roman" w:cs="Times New Roman"/>
          <w:sz w:val="20"/>
          <w:szCs w:val="20"/>
          <w:lang w:val="kk-KZ"/>
        </w:rPr>
        <w:t>Купряшин, Г. Л.  Основы государственного и муниципального управления – М.: Юрайт, 2025. - 582 с.</w:t>
      </w:r>
    </w:p>
    <w:p w14:paraId="0223FA21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14.Маслова, В. М.  Управление персоналом – Москва: Юрайт, 2025.- 451 с </w:t>
      </w:r>
    </w:p>
    <w:p w14:paraId="393F833A" w14:textId="77777777" w:rsidR="00BD08AF" w:rsidRDefault="00BD08AF" w:rsidP="00BD08A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15.Оқу бизнес-кейстерінің жинағы -Алматы: Үш қиян, 2025.-436 б.</w:t>
      </w:r>
    </w:p>
    <w:p w14:paraId="549A2D99" w14:textId="77777777" w:rsidR="00BD08AF" w:rsidRDefault="00BD08AF" w:rsidP="00BD08A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16.Сансызбаева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39D43C25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17.Староверова, К. О.  Технологии управления персоналом в государственных структурах -М.: Юрайт, 2025. - 177 с. </w:t>
      </w:r>
    </w:p>
    <w:p w14:paraId="1E14310F" w14:textId="77777777" w:rsidR="00BD08AF" w:rsidRDefault="00BD08AF" w:rsidP="00BD08AF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18.</w:t>
      </w:r>
      <w:r>
        <w:rPr>
          <w:rStyle w:val="ac"/>
          <w:color w:val="000000"/>
          <w:sz w:val="20"/>
          <w:szCs w:val="20"/>
          <w:shd w:val="clear" w:color="auto" w:fill="FFFFFF"/>
          <w:lang w:val="kk-KZ"/>
        </w:rPr>
        <w:t xml:space="preserve"> </w:t>
      </w:r>
      <w:r w:rsidRPr="001D4239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</w:rPr>
        <w:t>Суслов</w:t>
      </w:r>
      <w:r w:rsidRPr="001D4239">
        <w:rPr>
          <w:rStyle w:val="ac"/>
          <w:rFonts w:ascii="Times New Roman" w:hAnsi="Times New Roman" w:cs="Times New Roman"/>
          <w:b w:val="0"/>
          <w:bCs w:val="0"/>
          <w:color w:val="000000"/>
          <w:sz w:val="20"/>
          <w:szCs w:val="20"/>
          <w:shd w:val="clear" w:color="auto" w:fill="FFFFFF"/>
          <w:lang w:val="kk-KZ"/>
        </w:rPr>
        <w:t>а И.П.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- 92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bookmarkEnd w:id="4"/>
    <w:p w14:paraId="07AAC938" w14:textId="77777777" w:rsidR="00BD08AF" w:rsidRDefault="00BD08AF" w:rsidP="00BD08A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DF628BC" w14:textId="77777777" w:rsidR="00BD08AF" w:rsidRDefault="00BD08AF" w:rsidP="00BD08A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</w:p>
    <w:p w14:paraId="27858166" w14:textId="77777777" w:rsidR="00BD08AF" w:rsidRDefault="00BD08AF" w:rsidP="00BD08A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7C1FC5F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7FBABF0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D0017D1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79E69B1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7349910D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84E932F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29716ED5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FB5A569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7697AAA5" w14:textId="77777777" w:rsidR="00BD08AF" w:rsidRDefault="00BD08AF" w:rsidP="00BD08AF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37A85BC" w14:textId="77777777" w:rsidR="00BD08AF" w:rsidRDefault="00BD08AF" w:rsidP="00BD08AF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7E6958A2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2A7A28CD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bookmarkStart w:id="6" w:name="_Hlk204879333"/>
      <w:r>
        <w:rPr>
          <w:rFonts w:ascii="Times New Roman" w:hAnsi="Times New Roman" w:cs="Times New Roman"/>
          <w:sz w:val="20"/>
          <w:szCs w:val="20"/>
          <w:lang w:val="en-US"/>
        </w:rPr>
        <w:t xml:space="preserve"> URL : https://urait.ru/bcode/567981</w:t>
      </w:r>
      <w:bookmarkEnd w:id="6"/>
    </w:p>
    <w:p w14:paraId="2B7C1452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52244B14" w14:textId="77777777" w:rsidR="00BD08AF" w:rsidRDefault="00BD08AF" w:rsidP="00BD08A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URL: https://urait.ru/bcode/568634</w:t>
      </w:r>
    </w:p>
    <w:p w14:paraId="0C3F2EF2" w14:textId="77777777" w:rsidR="00BD08AF" w:rsidRDefault="00BD08AF" w:rsidP="009E6CB1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644D4216" w14:textId="77777777" w:rsidR="00361543" w:rsidRDefault="00361543" w:rsidP="00BD08AF">
      <w:pPr>
        <w:rPr>
          <w:lang w:val="kk-KZ"/>
        </w:rPr>
      </w:pPr>
    </w:p>
    <w:sectPr w:rsidR="00361543" w:rsidSect="00BD08A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921"/>
    <w:multiLevelType w:val="hybridMultilevel"/>
    <w:tmpl w:val="AEA69110"/>
    <w:lvl w:ilvl="0" w:tplc="BC0470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6BE2"/>
    <w:multiLevelType w:val="hybridMultilevel"/>
    <w:tmpl w:val="23FCD7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866B1"/>
    <w:multiLevelType w:val="hybridMultilevel"/>
    <w:tmpl w:val="9DDA4B4C"/>
    <w:lvl w:ilvl="0" w:tplc="FA24C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465937"/>
    <w:multiLevelType w:val="hybridMultilevel"/>
    <w:tmpl w:val="AAF65228"/>
    <w:lvl w:ilvl="0" w:tplc="CCDA4B14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56E25"/>
    <w:multiLevelType w:val="hybridMultilevel"/>
    <w:tmpl w:val="8C36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6322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12984">
    <w:abstractNumId w:val="0"/>
  </w:num>
  <w:num w:numId="3" w16cid:durableId="1302468338">
    <w:abstractNumId w:val="2"/>
  </w:num>
  <w:num w:numId="4" w16cid:durableId="1050417407">
    <w:abstractNumId w:val="1"/>
  </w:num>
  <w:num w:numId="5" w16cid:durableId="1315992206">
    <w:abstractNumId w:val="5"/>
  </w:num>
  <w:num w:numId="6" w16cid:durableId="1376076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13"/>
    <w:rsid w:val="00007213"/>
    <w:rsid w:val="00067524"/>
    <w:rsid w:val="00096EC2"/>
    <w:rsid w:val="000D0F23"/>
    <w:rsid w:val="000F74CA"/>
    <w:rsid w:val="00161E0C"/>
    <w:rsid w:val="001632AF"/>
    <w:rsid w:val="001A38E1"/>
    <w:rsid w:val="001B289E"/>
    <w:rsid w:val="001C6AB6"/>
    <w:rsid w:val="001D4239"/>
    <w:rsid w:val="00244BF3"/>
    <w:rsid w:val="00310446"/>
    <w:rsid w:val="00361543"/>
    <w:rsid w:val="00397E32"/>
    <w:rsid w:val="003E6D87"/>
    <w:rsid w:val="004844E7"/>
    <w:rsid w:val="00491932"/>
    <w:rsid w:val="005249B3"/>
    <w:rsid w:val="00527A2B"/>
    <w:rsid w:val="005F54D2"/>
    <w:rsid w:val="00701622"/>
    <w:rsid w:val="00720512"/>
    <w:rsid w:val="00735BA0"/>
    <w:rsid w:val="007547D3"/>
    <w:rsid w:val="007A55FC"/>
    <w:rsid w:val="00882C63"/>
    <w:rsid w:val="00914598"/>
    <w:rsid w:val="00963F2C"/>
    <w:rsid w:val="009E6CB1"/>
    <w:rsid w:val="00A45455"/>
    <w:rsid w:val="00AB22BD"/>
    <w:rsid w:val="00AC7B78"/>
    <w:rsid w:val="00B45B54"/>
    <w:rsid w:val="00B55DEE"/>
    <w:rsid w:val="00BD08AF"/>
    <w:rsid w:val="00DE0E5B"/>
    <w:rsid w:val="00F660F2"/>
    <w:rsid w:val="00F74BFE"/>
    <w:rsid w:val="00F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B7E2"/>
  <w15:chartTrackingRefBased/>
  <w15:docId w15:val="{74E6F0A5-B75E-4A18-AEEB-0AE44012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543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9E6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864C9-FD43-489A-893F-A56EED7F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20</cp:revision>
  <dcterms:created xsi:type="dcterms:W3CDTF">2025-08-10T10:56:00Z</dcterms:created>
  <dcterms:modified xsi:type="dcterms:W3CDTF">2025-11-01T11:38:00Z</dcterms:modified>
</cp:coreProperties>
</file>